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79B5" w:rsidRDefault="00D279B5" w:rsidP="008264D2">
      <w:pPr>
        <w:spacing w:after="120" w:line="276" w:lineRule="auto"/>
        <w:jc w:val="center"/>
        <w:rPr>
          <w:rFonts w:ascii="Calibri" w:hAnsi="Calibri"/>
          <w:b/>
          <w:szCs w:val="20"/>
          <w:lang w:val="ro-RO"/>
        </w:rPr>
      </w:pPr>
      <w:r>
        <w:rPr>
          <w:rFonts w:ascii="Calibri" w:hAnsi="Calibri"/>
          <w:b/>
          <w:szCs w:val="20"/>
          <w:lang w:val="ro-RO"/>
        </w:rPr>
        <w:t>LISTĂ ORIENTATIVĂ A CHELTUIELILOR ELIGIBILE DIN POAT 2014-2020</w:t>
      </w:r>
    </w:p>
    <w:p w:rsidR="00D279B5" w:rsidRDefault="00D279B5" w:rsidP="00AA0323">
      <w:pPr>
        <w:spacing w:after="120" w:line="276" w:lineRule="auto"/>
        <w:jc w:val="both"/>
        <w:rPr>
          <w:rFonts w:ascii="Calibri" w:hAnsi="Calibri"/>
          <w:b/>
          <w:szCs w:val="20"/>
          <w:lang w:val="ro-RO"/>
        </w:rPr>
      </w:pPr>
    </w:p>
    <w:p w:rsidR="00AA0323" w:rsidRPr="00B02AB4" w:rsidRDefault="00AA0323" w:rsidP="00AA0323">
      <w:pPr>
        <w:pStyle w:val="FootnoteText"/>
        <w:adjustRightInd w:val="0"/>
        <w:snapToGrid w:val="0"/>
        <w:spacing w:before="0" w:after="0" w:line="240" w:lineRule="auto"/>
        <w:ind w:left="0"/>
        <w:rPr>
          <w:rFonts w:ascii="Calibri" w:hAnsi="Calibri"/>
          <w:b/>
          <w:color w:val="333333"/>
          <w:sz w:val="24"/>
          <w:szCs w:val="20"/>
          <w:lang w:val="ro-RO"/>
        </w:rPr>
      </w:pPr>
      <w:r w:rsidRPr="00B02AB4">
        <w:rPr>
          <w:rFonts w:ascii="Calibri" w:hAnsi="Calibri"/>
          <w:b/>
          <w:color w:val="333333"/>
          <w:sz w:val="24"/>
          <w:szCs w:val="20"/>
          <w:lang w:val="ro-RO"/>
        </w:rPr>
        <w:t>1. Cheltuielile de personal</w:t>
      </w:r>
    </w:p>
    <w:p w:rsidR="00AA0323" w:rsidRPr="00B02AB4" w:rsidRDefault="00AA0323" w:rsidP="00AA0323">
      <w:pPr>
        <w:numPr>
          <w:ilvl w:val="0"/>
          <w:numId w:val="1"/>
        </w:numPr>
        <w:jc w:val="both"/>
        <w:rPr>
          <w:rFonts w:ascii="Calibri" w:hAnsi="Calibri"/>
          <w:szCs w:val="20"/>
          <w:lang w:val="ro-RO"/>
        </w:rPr>
      </w:pPr>
      <w:r w:rsidRPr="00B02AB4">
        <w:rPr>
          <w:rFonts w:ascii="Calibri" w:hAnsi="Calibri"/>
          <w:szCs w:val="20"/>
          <w:lang w:val="ro-RO"/>
        </w:rPr>
        <w:t xml:space="preserve">Cheltuielile pentru transport, cazare, diurnă, indemnizaţii de delegare şi taxe de participare. </w:t>
      </w:r>
    </w:p>
    <w:p w:rsidR="00AA0323" w:rsidRPr="00B02AB4" w:rsidRDefault="00AA0323" w:rsidP="00AA0323">
      <w:pPr>
        <w:numPr>
          <w:ilvl w:val="0"/>
          <w:numId w:val="1"/>
        </w:numPr>
        <w:jc w:val="both"/>
        <w:rPr>
          <w:rFonts w:ascii="Calibri" w:hAnsi="Calibri"/>
          <w:szCs w:val="20"/>
          <w:lang w:val="ro-RO"/>
        </w:rPr>
      </w:pPr>
      <w:r w:rsidRPr="00B02AB4">
        <w:rPr>
          <w:rFonts w:ascii="Calibri" w:hAnsi="Calibri"/>
          <w:szCs w:val="20"/>
          <w:lang w:val="ro-RO"/>
        </w:rPr>
        <w:t xml:space="preserve">Cheltuielile efectuate pentru remunerarea personalului. </w:t>
      </w:r>
    </w:p>
    <w:p w:rsidR="00AA0323" w:rsidRPr="00B02AB4" w:rsidRDefault="00AA0323" w:rsidP="00AA0323">
      <w:pPr>
        <w:numPr>
          <w:ilvl w:val="0"/>
          <w:numId w:val="1"/>
        </w:numPr>
        <w:jc w:val="both"/>
        <w:rPr>
          <w:rFonts w:ascii="Calibri" w:hAnsi="Calibri"/>
          <w:szCs w:val="20"/>
          <w:lang w:val="ro-RO"/>
        </w:rPr>
      </w:pPr>
      <w:r w:rsidRPr="00B02AB4">
        <w:rPr>
          <w:rFonts w:ascii="Calibri" w:hAnsi="Calibri"/>
          <w:szCs w:val="20"/>
          <w:lang w:val="ro-RO"/>
        </w:rPr>
        <w:t xml:space="preserve">Cheltuieli salariale cu echipa de proiect. </w:t>
      </w:r>
    </w:p>
    <w:p w:rsidR="00AA0323" w:rsidRPr="00B02AB4" w:rsidRDefault="00AA0323" w:rsidP="00AA0323">
      <w:pPr>
        <w:pStyle w:val="FootnoteText"/>
        <w:tabs>
          <w:tab w:val="num" w:pos="1260"/>
        </w:tabs>
        <w:adjustRightInd w:val="0"/>
        <w:snapToGrid w:val="0"/>
        <w:spacing w:before="0" w:after="0" w:line="240" w:lineRule="auto"/>
        <w:rPr>
          <w:rFonts w:ascii="Calibri" w:hAnsi="Calibri" w:cs="Times New Roman"/>
          <w:color w:val="333333"/>
          <w:sz w:val="24"/>
          <w:szCs w:val="20"/>
          <w:highlight w:val="yellow"/>
          <w:lang w:val="ro-RO"/>
        </w:rPr>
      </w:pPr>
    </w:p>
    <w:p w:rsidR="00AA0323" w:rsidRPr="00B02AB4" w:rsidRDefault="00AA0323" w:rsidP="00AA0323">
      <w:pPr>
        <w:pStyle w:val="FootnoteText"/>
        <w:adjustRightInd w:val="0"/>
        <w:snapToGrid w:val="0"/>
        <w:spacing w:before="0" w:after="0" w:line="240" w:lineRule="auto"/>
        <w:ind w:left="0"/>
        <w:rPr>
          <w:rFonts w:ascii="Calibri" w:hAnsi="Calibri" w:cs="Times New Roman"/>
          <w:b/>
          <w:color w:val="333333"/>
          <w:sz w:val="24"/>
          <w:szCs w:val="20"/>
          <w:lang w:val="ro-RO"/>
        </w:rPr>
      </w:pPr>
      <w:r w:rsidRPr="00B02AB4">
        <w:rPr>
          <w:rFonts w:ascii="Calibri" w:hAnsi="Calibri" w:cs="Times New Roman"/>
          <w:b/>
          <w:color w:val="333333"/>
          <w:sz w:val="24"/>
          <w:szCs w:val="20"/>
          <w:lang w:val="ro-RO"/>
        </w:rPr>
        <w:t xml:space="preserve">2. Cheltuielile </w:t>
      </w:r>
      <w:r w:rsidR="00D279B5">
        <w:rPr>
          <w:rFonts w:ascii="Calibri" w:hAnsi="Calibri" w:cs="Times New Roman"/>
          <w:b/>
          <w:color w:val="333333"/>
          <w:sz w:val="24"/>
          <w:szCs w:val="20"/>
          <w:lang w:val="ro-RO"/>
        </w:rPr>
        <w:t>cu</w:t>
      </w:r>
      <w:r w:rsidRPr="00B02AB4">
        <w:rPr>
          <w:rFonts w:ascii="Calibri" w:hAnsi="Calibri" w:cs="Times New Roman"/>
          <w:b/>
          <w:color w:val="333333"/>
          <w:sz w:val="24"/>
          <w:szCs w:val="20"/>
          <w:lang w:val="ro-RO"/>
        </w:rPr>
        <w:t xml:space="preserve"> servicii</w:t>
      </w:r>
    </w:p>
    <w:p w:rsidR="00AA0323" w:rsidRPr="00B02AB4" w:rsidRDefault="00AA0323" w:rsidP="00AA0323">
      <w:pPr>
        <w:numPr>
          <w:ilvl w:val="0"/>
          <w:numId w:val="1"/>
        </w:numPr>
        <w:jc w:val="both"/>
        <w:rPr>
          <w:rFonts w:ascii="Calibri" w:hAnsi="Calibri"/>
          <w:szCs w:val="20"/>
          <w:lang w:val="ro-RO"/>
        </w:rPr>
      </w:pPr>
      <w:r w:rsidRPr="00B02AB4">
        <w:rPr>
          <w:rFonts w:ascii="Calibri" w:hAnsi="Calibri"/>
          <w:szCs w:val="20"/>
          <w:lang w:val="ro-RO"/>
        </w:rPr>
        <w:t xml:space="preserve">Cheltuielile pentru achiziţionarea sau realizarea de studii, analize. </w:t>
      </w:r>
    </w:p>
    <w:p w:rsidR="00AA0323" w:rsidRPr="00B02AB4" w:rsidRDefault="00AA0323" w:rsidP="00AA0323">
      <w:pPr>
        <w:numPr>
          <w:ilvl w:val="0"/>
          <w:numId w:val="1"/>
        </w:numPr>
        <w:jc w:val="both"/>
        <w:rPr>
          <w:rFonts w:ascii="Calibri" w:hAnsi="Calibri"/>
          <w:szCs w:val="20"/>
          <w:lang w:val="ro-RO"/>
        </w:rPr>
      </w:pPr>
      <w:r w:rsidRPr="00B02AB4">
        <w:rPr>
          <w:rFonts w:ascii="Calibri" w:hAnsi="Calibri"/>
          <w:szCs w:val="20"/>
          <w:lang w:val="ro-RO"/>
        </w:rPr>
        <w:t xml:space="preserve">Cheltuielile pentru consultanţă şi expertiza tehnică, financiară, contabilă, fiscală şi juridică (inclusiv pentru elaborarea de rapoarte, strategii, ghiduri, metodologii). </w:t>
      </w:r>
    </w:p>
    <w:p w:rsidR="00AA0323" w:rsidRPr="00B02AB4" w:rsidRDefault="00AA0323" w:rsidP="00AA0323">
      <w:pPr>
        <w:numPr>
          <w:ilvl w:val="0"/>
          <w:numId w:val="1"/>
        </w:numPr>
        <w:jc w:val="both"/>
        <w:rPr>
          <w:rFonts w:ascii="Calibri" w:hAnsi="Calibri"/>
          <w:szCs w:val="20"/>
          <w:lang w:val="ro-RO"/>
        </w:rPr>
      </w:pPr>
      <w:r w:rsidRPr="00B02AB4">
        <w:rPr>
          <w:rFonts w:ascii="Calibri" w:hAnsi="Calibri"/>
          <w:szCs w:val="20"/>
          <w:lang w:val="ro-RO"/>
        </w:rPr>
        <w:t xml:space="preserve">Cheltuielile privind achiziţionarea serviciilor de audit. </w:t>
      </w:r>
    </w:p>
    <w:p w:rsidR="00AA0323" w:rsidRPr="00B02AB4" w:rsidRDefault="00AA0323" w:rsidP="00AA0323">
      <w:pPr>
        <w:numPr>
          <w:ilvl w:val="0"/>
          <w:numId w:val="1"/>
        </w:numPr>
        <w:jc w:val="both"/>
        <w:rPr>
          <w:rFonts w:ascii="Calibri" w:hAnsi="Calibri"/>
          <w:szCs w:val="20"/>
          <w:lang w:val="ro-RO"/>
        </w:rPr>
      </w:pPr>
      <w:r w:rsidRPr="00B02AB4">
        <w:rPr>
          <w:rFonts w:ascii="Calibri" w:hAnsi="Calibri"/>
          <w:szCs w:val="20"/>
          <w:lang w:val="ro-RO"/>
        </w:rPr>
        <w:t xml:space="preserve">Cheltuielile privind achiziţionarea serviciilor de evaluare. </w:t>
      </w:r>
    </w:p>
    <w:p w:rsidR="00023A9F" w:rsidRDefault="00AA0323" w:rsidP="00AA0323">
      <w:pPr>
        <w:numPr>
          <w:ilvl w:val="0"/>
          <w:numId w:val="1"/>
        </w:numPr>
        <w:jc w:val="both"/>
        <w:rPr>
          <w:rFonts w:ascii="Calibri" w:hAnsi="Calibri"/>
          <w:szCs w:val="20"/>
          <w:lang w:val="ro-RO"/>
        </w:rPr>
      </w:pPr>
      <w:r w:rsidRPr="00B02AB4">
        <w:rPr>
          <w:rFonts w:ascii="Calibri" w:hAnsi="Calibri"/>
          <w:szCs w:val="20"/>
          <w:lang w:val="ro-RO"/>
        </w:rPr>
        <w:t>Cheltuielile cu comunicarea, informarea şi publicitatea, î</w:t>
      </w:r>
      <w:r w:rsidR="00023A9F">
        <w:rPr>
          <w:rFonts w:ascii="Calibri" w:hAnsi="Calibri"/>
          <w:szCs w:val="20"/>
          <w:lang w:val="ro-RO"/>
        </w:rPr>
        <w:t>n care se includ:</w:t>
      </w:r>
      <w:r w:rsidRPr="00B02AB4">
        <w:rPr>
          <w:rFonts w:ascii="Calibri" w:hAnsi="Calibri"/>
          <w:szCs w:val="20"/>
          <w:lang w:val="ro-RO"/>
        </w:rPr>
        <w:t xml:space="preserve"> </w:t>
      </w:r>
    </w:p>
    <w:p w:rsidR="00023A9F" w:rsidRDefault="00AA0323" w:rsidP="00023A9F">
      <w:pPr>
        <w:numPr>
          <w:ilvl w:val="1"/>
          <w:numId w:val="1"/>
        </w:numPr>
        <w:jc w:val="both"/>
        <w:rPr>
          <w:rFonts w:ascii="Calibri" w:hAnsi="Calibri"/>
          <w:szCs w:val="20"/>
          <w:lang w:val="ro-RO"/>
        </w:rPr>
      </w:pPr>
      <w:r w:rsidRPr="00B02AB4">
        <w:rPr>
          <w:rFonts w:ascii="Calibri" w:hAnsi="Calibri"/>
          <w:szCs w:val="20"/>
          <w:lang w:val="ro-RO"/>
        </w:rPr>
        <w:t xml:space="preserve">cheltuieli de informare şi publicitate pentru proiect şi care rezultă din obligaţiile beneficiarului </w:t>
      </w:r>
    </w:p>
    <w:p w:rsidR="00023A9F" w:rsidRDefault="00AA0323" w:rsidP="00023A9F">
      <w:pPr>
        <w:numPr>
          <w:ilvl w:val="1"/>
          <w:numId w:val="1"/>
        </w:numPr>
        <w:jc w:val="both"/>
        <w:rPr>
          <w:rFonts w:ascii="Calibri" w:hAnsi="Calibri"/>
          <w:szCs w:val="20"/>
          <w:lang w:val="ro-RO"/>
        </w:rPr>
      </w:pPr>
      <w:r w:rsidRPr="00B02AB4">
        <w:rPr>
          <w:rFonts w:ascii="Calibri" w:hAnsi="Calibri"/>
          <w:szCs w:val="20"/>
          <w:lang w:val="ro-RO"/>
        </w:rPr>
        <w:t>cheltuieli efectuate pentru organizarea de evenimente</w:t>
      </w:r>
    </w:p>
    <w:p w:rsidR="00023A9F" w:rsidRDefault="00AA0323" w:rsidP="00023A9F">
      <w:pPr>
        <w:numPr>
          <w:ilvl w:val="1"/>
          <w:numId w:val="1"/>
        </w:numPr>
        <w:jc w:val="both"/>
        <w:rPr>
          <w:rFonts w:ascii="Calibri" w:hAnsi="Calibri"/>
          <w:szCs w:val="20"/>
          <w:lang w:val="ro-RO"/>
        </w:rPr>
      </w:pPr>
      <w:r w:rsidRPr="00B02AB4">
        <w:rPr>
          <w:rFonts w:ascii="Calibri" w:hAnsi="Calibri"/>
          <w:szCs w:val="20"/>
          <w:lang w:val="ro-RO"/>
        </w:rPr>
        <w:t xml:space="preserve">conceperea, producţia şi difuzarea spoturilor publicitare radio şi TV, </w:t>
      </w:r>
    </w:p>
    <w:p w:rsidR="00023A9F" w:rsidRDefault="00AA0323" w:rsidP="00023A9F">
      <w:pPr>
        <w:numPr>
          <w:ilvl w:val="1"/>
          <w:numId w:val="1"/>
        </w:numPr>
        <w:jc w:val="both"/>
        <w:rPr>
          <w:rFonts w:ascii="Calibri" w:hAnsi="Calibri"/>
          <w:szCs w:val="20"/>
          <w:lang w:val="ro-RO"/>
        </w:rPr>
      </w:pPr>
      <w:r w:rsidRPr="00B02AB4">
        <w:rPr>
          <w:rFonts w:ascii="Calibri" w:hAnsi="Calibri"/>
          <w:szCs w:val="20"/>
          <w:lang w:val="ro-RO"/>
        </w:rPr>
        <w:t xml:space="preserve">publicitatea prin intermediul presei scrise şi panotaj, </w:t>
      </w:r>
    </w:p>
    <w:p w:rsidR="00023A9F" w:rsidRDefault="00AA0323" w:rsidP="00023A9F">
      <w:pPr>
        <w:numPr>
          <w:ilvl w:val="1"/>
          <w:numId w:val="1"/>
        </w:numPr>
        <w:jc w:val="both"/>
        <w:rPr>
          <w:rFonts w:ascii="Calibri" w:hAnsi="Calibri"/>
          <w:szCs w:val="20"/>
          <w:lang w:val="ro-RO"/>
        </w:rPr>
      </w:pPr>
      <w:r w:rsidRPr="00B02AB4">
        <w:rPr>
          <w:rFonts w:ascii="Calibri" w:hAnsi="Calibri"/>
          <w:szCs w:val="20"/>
          <w:lang w:val="ro-RO"/>
        </w:rPr>
        <w:t xml:space="preserve">pagini web, </w:t>
      </w:r>
    </w:p>
    <w:p w:rsidR="00023A9F" w:rsidRDefault="00AA0323" w:rsidP="00023A9F">
      <w:pPr>
        <w:numPr>
          <w:ilvl w:val="1"/>
          <w:numId w:val="1"/>
        </w:numPr>
        <w:jc w:val="both"/>
        <w:rPr>
          <w:rFonts w:ascii="Calibri" w:hAnsi="Calibri"/>
          <w:szCs w:val="20"/>
          <w:lang w:val="ro-RO"/>
        </w:rPr>
      </w:pPr>
      <w:r w:rsidRPr="00B02AB4">
        <w:rPr>
          <w:rFonts w:ascii="Calibri" w:hAnsi="Calibri"/>
          <w:szCs w:val="20"/>
          <w:lang w:val="ro-RO"/>
        </w:rPr>
        <w:t xml:space="preserve">conceperea, producţia şi distribuţia de materiale promoţionale, </w:t>
      </w:r>
    </w:p>
    <w:p w:rsidR="00023A9F" w:rsidRDefault="00AA0323" w:rsidP="00023A9F">
      <w:pPr>
        <w:numPr>
          <w:ilvl w:val="1"/>
          <w:numId w:val="1"/>
        </w:numPr>
        <w:jc w:val="both"/>
        <w:rPr>
          <w:rFonts w:ascii="Calibri" w:hAnsi="Calibri"/>
          <w:szCs w:val="20"/>
          <w:lang w:val="ro-RO"/>
        </w:rPr>
      </w:pPr>
      <w:r w:rsidRPr="00B02AB4">
        <w:rPr>
          <w:rFonts w:ascii="Calibri" w:hAnsi="Calibri"/>
          <w:szCs w:val="20"/>
          <w:lang w:val="ro-RO"/>
        </w:rPr>
        <w:t xml:space="preserve">organizarea de </w:t>
      </w:r>
      <w:r w:rsidR="00561162">
        <w:rPr>
          <w:rFonts w:ascii="Calibri" w:hAnsi="Calibri"/>
          <w:szCs w:val="20"/>
          <w:lang w:val="ro-RO"/>
        </w:rPr>
        <w:t>seminarii</w:t>
      </w:r>
      <w:bookmarkStart w:id="0" w:name="_GoBack"/>
      <w:bookmarkEnd w:id="0"/>
      <w:r w:rsidRPr="00B02AB4">
        <w:rPr>
          <w:rFonts w:ascii="Calibri" w:hAnsi="Calibri"/>
          <w:szCs w:val="20"/>
          <w:lang w:val="ro-RO"/>
        </w:rPr>
        <w:t xml:space="preserve"> de </w:t>
      </w:r>
      <w:r w:rsidR="00511499">
        <w:rPr>
          <w:rFonts w:ascii="Calibri" w:hAnsi="Calibri"/>
          <w:szCs w:val="20"/>
          <w:lang w:val="ro-RO"/>
        </w:rPr>
        <w:t>promov</w:t>
      </w:r>
      <w:r w:rsidRPr="00B02AB4">
        <w:rPr>
          <w:rFonts w:ascii="Calibri" w:hAnsi="Calibri"/>
          <w:szCs w:val="20"/>
          <w:lang w:val="ro-RO"/>
        </w:rPr>
        <w:t xml:space="preserve">are pentru reprezentanţi ai mass - media, </w:t>
      </w:r>
    </w:p>
    <w:p w:rsidR="00023A9F" w:rsidRDefault="00AA0323" w:rsidP="00023A9F">
      <w:pPr>
        <w:numPr>
          <w:ilvl w:val="1"/>
          <w:numId w:val="1"/>
        </w:numPr>
        <w:jc w:val="both"/>
        <w:rPr>
          <w:rFonts w:ascii="Calibri" w:hAnsi="Calibri"/>
          <w:szCs w:val="20"/>
          <w:lang w:val="ro-RO"/>
        </w:rPr>
      </w:pPr>
      <w:r w:rsidRPr="00B02AB4">
        <w:rPr>
          <w:rFonts w:ascii="Calibri" w:hAnsi="Calibri"/>
          <w:szCs w:val="20"/>
          <w:lang w:val="ro-RO"/>
        </w:rPr>
        <w:t xml:space="preserve">servicii monitorizare media, </w:t>
      </w:r>
    </w:p>
    <w:p w:rsidR="00023A9F" w:rsidRDefault="00AA0323" w:rsidP="00023A9F">
      <w:pPr>
        <w:numPr>
          <w:ilvl w:val="1"/>
          <w:numId w:val="1"/>
        </w:numPr>
        <w:jc w:val="both"/>
        <w:rPr>
          <w:rFonts w:ascii="Calibri" w:hAnsi="Calibri"/>
          <w:szCs w:val="20"/>
          <w:lang w:val="ro-RO"/>
        </w:rPr>
      </w:pPr>
      <w:r w:rsidRPr="00B02AB4">
        <w:rPr>
          <w:rFonts w:ascii="Calibri" w:hAnsi="Calibri"/>
          <w:szCs w:val="20"/>
          <w:lang w:val="ro-RO"/>
        </w:rPr>
        <w:t>consultanţă în relaţii publice</w:t>
      </w:r>
      <w:r w:rsidR="00C42E96">
        <w:rPr>
          <w:rFonts w:ascii="Calibri" w:hAnsi="Calibri"/>
          <w:szCs w:val="20"/>
          <w:lang w:val="ro-RO"/>
        </w:rPr>
        <w:t xml:space="preserve">, </w:t>
      </w:r>
    </w:p>
    <w:p w:rsidR="00AA0323" w:rsidRPr="00B02AB4" w:rsidRDefault="00C42E96" w:rsidP="00023A9F">
      <w:pPr>
        <w:numPr>
          <w:ilvl w:val="1"/>
          <w:numId w:val="1"/>
        </w:numPr>
        <w:jc w:val="both"/>
        <w:rPr>
          <w:rFonts w:ascii="Calibri" w:hAnsi="Calibri"/>
          <w:szCs w:val="20"/>
          <w:lang w:val="ro-RO"/>
        </w:rPr>
      </w:pPr>
      <w:r>
        <w:rPr>
          <w:rFonts w:ascii="Calibri" w:hAnsi="Calibri"/>
          <w:szCs w:val="20"/>
          <w:lang w:val="ro-RO"/>
        </w:rPr>
        <w:t xml:space="preserve">organizarea, funcționarea şi promovarea Centrului de Informare și a rețelei teritoriale şi cu operaţionalizarea </w:t>
      </w:r>
      <w:r>
        <w:rPr>
          <w:rFonts w:ascii="Calibri" w:hAnsi="Calibri"/>
          <w:szCs w:val="20"/>
        </w:rPr>
        <w:t>“</w:t>
      </w:r>
      <w:proofErr w:type="spellStart"/>
      <w:r>
        <w:rPr>
          <w:rFonts w:ascii="Calibri" w:hAnsi="Calibri"/>
          <w:szCs w:val="20"/>
        </w:rPr>
        <w:t>ghișeului</w:t>
      </w:r>
      <w:proofErr w:type="spellEnd"/>
      <w:r>
        <w:rPr>
          <w:rFonts w:ascii="Calibri" w:hAnsi="Calibri"/>
          <w:szCs w:val="20"/>
        </w:rPr>
        <w:t xml:space="preserve"> </w:t>
      </w:r>
      <w:proofErr w:type="spellStart"/>
      <w:r>
        <w:rPr>
          <w:rFonts w:ascii="Calibri" w:hAnsi="Calibri"/>
          <w:szCs w:val="20"/>
        </w:rPr>
        <w:t>unic</w:t>
      </w:r>
      <w:proofErr w:type="spellEnd"/>
      <w:r>
        <w:rPr>
          <w:rFonts w:ascii="Calibri" w:hAnsi="Calibri"/>
          <w:szCs w:val="20"/>
        </w:rPr>
        <w:t xml:space="preserve">” </w:t>
      </w:r>
      <w:r>
        <w:rPr>
          <w:rFonts w:ascii="Calibri" w:hAnsi="Calibri"/>
          <w:szCs w:val="20"/>
          <w:lang w:val="ro-RO"/>
        </w:rPr>
        <w:t>pentru IMM-uri</w:t>
      </w:r>
      <w:r w:rsidR="00AA0323" w:rsidRPr="00B02AB4">
        <w:rPr>
          <w:rFonts w:ascii="Calibri" w:hAnsi="Calibri"/>
          <w:szCs w:val="20"/>
          <w:lang w:val="ro-RO"/>
        </w:rPr>
        <w:t xml:space="preserve">. </w:t>
      </w:r>
    </w:p>
    <w:p w:rsidR="00AA0323" w:rsidRPr="00B02AB4" w:rsidRDefault="00AA0323" w:rsidP="00AA0323">
      <w:pPr>
        <w:numPr>
          <w:ilvl w:val="0"/>
          <w:numId w:val="1"/>
        </w:numPr>
        <w:jc w:val="both"/>
        <w:rPr>
          <w:rFonts w:ascii="Calibri" w:hAnsi="Calibri"/>
          <w:szCs w:val="20"/>
          <w:lang w:val="ro-RO"/>
        </w:rPr>
      </w:pPr>
      <w:r w:rsidRPr="00B02AB4">
        <w:rPr>
          <w:rFonts w:ascii="Calibri" w:hAnsi="Calibri"/>
          <w:szCs w:val="20"/>
          <w:lang w:val="ro-RO"/>
        </w:rPr>
        <w:t xml:space="preserve">Cheltuielile efectuate cu traduceri şi interpretariat. </w:t>
      </w:r>
    </w:p>
    <w:p w:rsidR="00AA0323" w:rsidRPr="00B02AB4" w:rsidRDefault="00AA0323" w:rsidP="00AA0323">
      <w:pPr>
        <w:numPr>
          <w:ilvl w:val="0"/>
          <w:numId w:val="1"/>
        </w:numPr>
        <w:jc w:val="both"/>
        <w:rPr>
          <w:rFonts w:ascii="Calibri" w:hAnsi="Calibri"/>
          <w:szCs w:val="20"/>
          <w:lang w:val="ro-RO"/>
        </w:rPr>
      </w:pPr>
      <w:r w:rsidRPr="00B02AB4">
        <w:rPr>
          <w:rFonts w:ascii="Calibri" w:hAnsi="Calibri"/>
          <w:szCs w:val="20"/>
          <w:lang w:val="ro-RO"/>
        </w:rPr>
        <w:t xml:space="preserve">Cheltuielile pentru servicii informatice şi de comunicaţii: instalare, întreţinere şi reparare echipamente informatice, de comunicaţii, periferice de calcul şi instalaţii; întreţinere, actualizare şi dezvoltare aplicaţii informatice. </w:t>
      </w:r>
    </w:p>
    <w:p w:rsidR="00AA0323" w:rsidRPr="00B02AB4" w:rsidRDefault="00AA0323" w:rsidP="00AA0323">
      <w:pPr>
        <w:numPr>
          <w:ilvl w:val="0"/>
          <w:numId w:val="1"/>
        </w:numPr>
        <w:jc w:val="both"/>
        <w:rPr>
          <w:rFonts w:ascii="Calibri" w:hAnsi="Calibri"/>
          <w:szCs w:val="20"/>
          <w:lang w:val="ro-RO"/>
        </w:rPr>
      </w:pPr>
      <w:r w:rsidRPr="00B02AB4">
        <w:rPr>
          <w:rFonts w:ascii="Calibri" w:hAnsi="Calibri"/>
          <w:szCs w:val="20"/>
          <w:lang w:val="ro-RO"/>
        </w:rPr>
        <w:t xml:space="preserve">Cheltuielile pentru recrutarea şi selecţia personalului. </w:t>
      </w:r>
    </w:p>
    <w:p w:rsidR="00AA0323" w:rsidRPr="00B02AB4" w:rsidRDefault="00AA0323" w:rsidP="00AA0323">
      <w:pPr>
        <w:numPr>
          <w:ilvl w:val="0"/>
          <w:numId w:val="1"/>
        </w:numPr>
        <w:jc w:val="both"/>
        <w:rPr>
          <w:rFonts w:ascii="Calibri" w:hAnsi="Calibri"/>
          <w:szCs w:val="20"/>
          <w:lang w:val="ro-RO"/>
        </w:rPr>
      </w:pPr>
      <w:r w:rsidRPr="00B02AB4">
        <w:rPr>
          <w:rFonts w:ascii="Calibri" w:hAnsi="Calibri"/>
          <w:szCs w:val="20"/>
          <w:lang w:val="ro-RO"/>
        </w:rPr>
        <w:t>Cheltuieli pentru asigurarea de personal, inclusiv personal angajat temporar.</w:t>
      </w:r>
    </w:p>
    <w:p w:rsidR="00AA0323" w:rsidRPr="00B02AB4" w:rsidRDefault="00AA0323" w:rsidP="00D279B5">
      <w:pPr>
        <w:numPr>
          <w:ilvl w:val="0"/>
          <w:numId w:val="1"/>
        </w:numPr>
        <w:jc w:val="both"/>
        <w:rPr>
          <w:rFonts w:ascii="Calibri" w:hAnsi="Calibri"/>
          <w:szCs w:val="20"/>
          <w:lang w:val="ro-RO"/>
        </w:rPr>
      </w:pPr>
      <w:r w:rsidRPr="00B02AB4">
        <w:rPr>
          <w:rFonts w:ascii="Calibri" w:hAnsi="Calibri"/>
          <w:szCs w:val="20"/>
          <w:lang w:val="ro-RO"/>
        </w:rPr>
        <w:t>Cheltuielile</w:t>
      </w:r>
      <w:r w:rsidR="00D279B5">
        <w:rPr>
          <w:rFonts w:ascii="Calibri" w:hAnsi="Calibri"/>
          <w:szCs w:val="20"/>
          <w:lang w:val="ro-RO"/>
        </w:rPr>
        <w:t xml:space="preserve"> pentru instruire </w:t>
      </w:r>
    </w:p>
    <w:p w:rsidR="00AA0323" w:rsidRPr="00B02AB4" w:rsidRDefault="00AA0323" w:rsidP="00AA0323">
      <w:pPr>
        <w:numPr>
          <w:ilvl w:val="0"/>
          <w:numId w:val="1"/>
        </w:numPr>
        <w:jc w:val="both"/>
        <w:rPr>
          <w:rFonts w:ascii="Calibri" w:hAnsi="Calibri"/>
          <w:szCs w:val="20"/>
          <w:lang w:val="ro-RO"/>
        </w:rPr>
      </w:pPr>
      <w:r w:rsidRPr="00B02AB4">
        <w:rPr>
          <w:rFonts w:ascii="Calibri" w:hAnsi="Calibri"/>
          <w:szCs w:val="20"/>
          <w:lang w:val="ro-RO"/>
        </w:rPr>
        <w:t>Cheltuielile pentru achiziţia de publicaţii/abonamente la publicaţii, cărţi relevante pentru obiectul de activitate al beneficiarului, în format tipărit şi/sau electronic, precum şi cotizaţiile pentru participarea la asociaţii.</w:t>
      </w:r>
    </w:p>
    <w:p w:rsidR="00AA0323" w:rsidRPr="00B02AB4" w:rsidRDefault="00AA0323" w:rsidP="00AA0323">
      <w:pPr>
        <w:numPr>
          <w:ilvl w:val="0"/>
          <w:numId w:val="1"/>
        </w:numPr>
        <w:jc w:val="both"/>
        <w:rPr>
          <w:rFonts w:ascii="Calibri" w:hAnsi="Calibri"/>
          <w:szCs w:val="20"/>
          <w:lang w:val="ro-RO"/>
        </w:rPr>
      </w:pPr>
      <w:r w:rsidRPr="00B02AB4">
        <w:rPr>
          <w:rFonts w:ascii="Calibri" w:hAnsi="Calibri"/>
          <w:szCs w:val="20"/>
          <w:lang w:val="ro-RO"/>
        </w:rPr>
        <w:t xml:space="preserve">Cheltuielile cu tipărirea, multiplicarea şi distribuţia de materiale. </w:t>
      </w:r>
    </w:p>
    <w:p w:rsidR="00AA0323" w:rsidRPr="00B02AB4" w:rsidRDefault="00AA0323" w:rsidP="00AA0323">
      <w:pPr>
        <w:numPr>
          <w:ilvl w:val="0"/>
          <w:numId w:val="1"/>
        </w:numPr>
        <w:jc w:val="both"/>
        <w:rPr>
          <w:rFonts w:ascii="Calibri" w:hAnsi="Calibri"/>
          <w:szCs w:val="20"/>
          <w:lang w:val="ro-RO"/>
        </w:rPr>
      </w:pPr>
      <w:r w:rsidRPr="00B02AB4">
        <w:rPr>
          <w:rFonts w:ascii="Calibri" w:hAnsi="Calibri"/>
          <w:szCs w:val="20"/>
          <w:lang w:val="ro-RO"/>
        </w:rPr>
        <w:t>Cheltuielile pentru plata comisioanelor bancare aferente operatiunilor efectuate în scopul proiectului, din contul deschis de catre beneficiar la Trezoreria Statului.</w:t>
      </w:r>
    </w:p>
    <w:p w:rsidR="00AA0323" w:rsidRPr="00B02AB4" w:rsidRDefault="00AA0323" w:rsidP="00AA0323">
      <w:pPr>
        <w:numPr>
          <w:ilvl w:val="0"/>
          <w:numId w:val="1"/>
        </w:numPr>
        <w:jc w:val="both"/>
        <w:rPr>
          <w:rFonts w:ascii="Calibri" w:hAnsi="Calibri"/>
          <w:szCs w:val="20"/>
          <w:lang w:val="ro-RO"/>
        </w:rPr>
      </w:pPr>
      <w:r w:rsidRPr="00B02AB4">
        <w:rPr>
          <w:rFonts w:ascii="Calibri" w:hAnsi="Calibri"/>
          <w:szCs w:val="20"/>
          <w:lang w:val="ro-RO"/>
        </w:rPr>
        <w:t>Cheltuielile cu transportul de persoane, materiale, mobilier, echipamente şi instalaţii efectuate în cadrul proiectului.</w:t>
      </w:r>
    </w:p>
    <w:p w:rsidR="00AA0323" w:rsidRPr="00B02AB4" w:rsidRDefault="00AA0323" w:rsidP="00AA0323">
      <w:pPr>
        <w:numPr>
          <w:ilvl w:val="0"/>
          <w:numId w:val="1"/>
        </w:numPr>
        <w:jc w:val="both"/>
        <w:rPr>
          <w:rFonts w:ascii="Calibri" w:hAnsi="Calibri"/>
          <w:szCs w:val="20"/>
          <w:lang w:val="ro-RO"/>
        </w:rPr>
      </w:pPr>
      <w:r w:rsidRPr="00B02AB4">
        <w:rPr>
          <w:rFonts w:ascii="Calibri" w:hAnsi="Calibri"/>
          <w:szCs w:val="20"/>
          <w:lang w:val="ro-RO"/>
        </w:rPr>
        <w:t xml:space="preserve">Cheltuielile privind plata primelor de asigurare pentru clădiri, spaţii, instalaţii, mobilier, mijloace de transport şi echipamente, dacă bunurile respective sunt în proprietatea beneficiarului şi nu au fost achiziţionate din fonduri nerambursabile </w:t>
      </w:r>
      <w:r w:rsidRPr="00B02AB4">
        <w:rPr>
          <w:rFonts w:ascii="Calibri" w:hAnsi="Calibri"/>
          <w:szCs w:val="20"/>
          <w:lang w:val="ro-RO"/>
        </w:rPr>
        <w:lastRenderedPageBreak/>
        <w:t>acordate de Uniunea Europeană şi dacă asigurarea acestora contribuie la realizarea obiectivului proiectului.</w:t>
      </w:r>
    </w:p>
    <w:p w:rsidR="00AA0323" w:rsidRPr="00B02AB4" w:rsidRDefault="00AA0323" w:rsidP="00AA0323">
      <w:pPr>
        <w:numPr>
          <w:ilvl w:val="0"/>
          <w:numId w:val="1"/>
        </w:numPr>
        <w:jc w:val="both"/>
        <w:rPr>
          <w:rFonts w:ascii="Calibri" w:hAnsi="Calibri"/>
          <w:szCs w:val="20"/>
          <w:lang w:val="ro-RO"/>
        </w:rPr>
      </w:pPr>
      <w:r w:rsidRPr="00B02AB4">
        <w:rPr>
          <w:rFonts w:ascii="Calibri" w:hAnsi="Calibri"/>
          <w:szCs w:val="20"/>
          <w:lang w:val="ro-RO"/>
        </w:rPr>
        <w:t>Cheltuielile aferente pregătirii documentaţiei de licitaţie, organizării şi derulării procedurilor de achiziţie publică efectuate in cadrul proiectului.</w:t>
      </w:r>
    </w:p>
    <w:p w:rsidR="00AA0323" w:rsidRPr="00B02AB4" w:rsidRDefault="00AA0323" w:rsidP="00AA0323">
      <w:pPr>
        <w:pStyle w:val="FootnoteText"/>
        <w:adjustRightInd w:val="0"/>
        <w:snapToGrid w:val="0"/>
        <w:spacing w:before="0" w:after="0" w:line="240" w:lineRule="auto"/>
        <w:ind w:left="0"/>
        <w:rPr>
          <w:rFonts w:ascii="Calibri" w:hAnsi="Calibri" w:cs="Times New Roman"/>
          <w:b/>
          <w:color w:val="333333"/>
          <w:sz w:val="24"/>
          <w:szCs w:val="20"/>
          <w:highlight w:val="yellow"/>
          <w:lang w:val="ro-RO"/>
        </w:rPr>
      </w:pPr>
    </w:p>
    <w:p w:rsidR="00AA0323" w:rsidRPr="00B02AB4" w:rsidRDefault="00AA0323" w:rsidP="00AA0323">
      <w:pPr>
        <w:pStyle w:val="FootnoteText"/>
        <w:adjustRightInd w:val="0"/>
        <w:snapToGrid w:val="0"/>
        <w:spacing w:before="0" w:after="0" w:line="240" w:lineRule="auto"/>
        <w:ind w:left="0"/>
        <w:rPr>
          <w:rFonts w:ascii="Calibri" w:hAnsi="Calibri" w:cs="Times New Roman"/>
          <w:b/>
          <w:color w:val="333333"/>
          <w:sz w:val="24"/>
          <w:szCs w:val="20"/>
          <w:lang w:val="ro-RO"/>
        </w:rPr>
      </w:pPr>
      <w:r w:rsidRPr="00B02AB4">
        <w:rPr>
          <w:rFonts w:ascii="Calibri" w:hAnsi="Calibri" w:cs="Times New Roman"/>
          <w:b/>
          <w:color w:val="333333"/>
          <w:sz w:val="24"/>
          <w:szCs w:val="20"/>
          <w:lang w:val="ro-RO"/>
        </w:rPr>
        <w:t>3. Cheltuieli cu achiziția de active fixe, obiecte de inventar, furnituri de birou, materiale consumabile</w:t>
      </w:r>
    </w:p>
    <w:p w:rsidR="00AA0323" w:rsidRPr="00B02AB4" w:rsidRDefault="00AA0323" w:rsidP="00AA0323">
      <w:pPr>
        <w:numPr>
          <w:ilvl w:val="0"/>
          <w:numId w:val="1"/>
        </w:numPr>
        <w:jc w:val="both"/>
        <w:rPr>
          <w:rFonts w:ascii="Calibri" w:hAnsi="Calibri"/>
          <w:szCs w:val="20"/>
          <w:lang w:val="ro-RO"/>
        </w:rPr>
      </w:pPr>
      <w:r w:rsidRPr="00B02AB4">
        <w:rPr>
          <w:rFonts w:ascii="Calibri" w:hAnsi="Calibri"/>
          <w:szCs w:val="20"/>
          <w:lang w:val="ro-RO"/>
        </w:rPr>
        <w:t xml:space="preserve">Cheltuielile pentru achiziţia de aparatură birotică, mobilier, echipamente, periferice de calcul şi instalaţii, inclusiv pentru asigurarea securităţii şi/sau siguranţei sediului beneficiarului şi alte active fixe corporale, necesare desfăşurării activităţii proiectului, realizată în cadrul şi pe durata proiectului. </w:t>
      </w:r>
    </w:p>
    <w:p w:rsidR="00AA0323" w:rsidRPr="00B02AB4" w:rsidRDefault="00AA0323" w:rsidP="00AA0323">
      <w:pPr>
        <w:numPr>
          <w:ilvl w:val="0"/>
          <w:numId w:val="1"/>
        </w:numPr>
        <w:jc w:val="both"/>
        <w:rPr>
          <w:rFonts w:ascii="Calibri" w:hAnsi="Calibri"/>
          <w:szCs w:val="20"/>
          <w:lang w:val="ro-RO"/>
        </w:rPr>
      </w:pPr>
      <w:r w:rsidRPr="00B02AB4">
        <w:rPr>
          <w:rFonts w:ascii="Calibri" w:hAnsi="Calibri"/>
          <w:szCs w:val="20"/>
          <w:lang w:val="ro-RO"/>
        </w:rPr>
        <w:t>Cheltuielile pentru achiziţia de aplicaţii informatice, brevete, licenţe, mărci.</w:t>
      </w:r>
    </w:p>
    <w:p w:rsidR="00AA0323" w:rsidRPr="00B02AB4" w:rsidRDefault="00AA0323" w:rsidP="00AA0323">
      <w:pPr>
        <w:numPr>
          <w:ilvl w:val="0"/>
          <w:numId w:val="1"/>
        </w:numPr>
        <w:jc w:val="both"/>
        <w:rPr>
          <w:rFonts w:ascii="Calibri" w:hAnsi="Calibri"/>
          <w:szCs w:val="20"/>
          <w:lang w:val="ro-RO"/>
        </w:rPr>
      </w:pPr>
      <w:r w:rsidRPr="00B02AB4">
        <w:rPr>
          <w:rFonts w:ascii="Calibri" w:hAnsi="Calibri"/>
          <w:szCs w:val="20"/>
          <w:lang w:val="ro-RO"/>
        </w:rPr>
        <w:t>Cheltuieli pentru achiziția obiectelor de inventar, a furniturilor de birou, materialelor consumabile.</w:t>
      </w:r>
    </w:p>
    <w:p w:rsidR="00AA0323" w:rsidRPr="00B02AB4" w:rsidRDefault="00AA0323" w:rsidP="00AA0323">
      <w:pPr>
        <w:pStyle w:val="FootnoteText"/>
        <w:adjustRightInd w:val="0"/>
        <w:snapToGrid w:val="0"/>
        <w:spacing w:before="0" w:after="0" w:line="240" w:lineRule="auto"/>
        <w:ind w:left="0"/>
        <w:rPr>
          <w:rFonts w:ascii="Calibri" w:hAnsi="Calibri" w:cs="Times New Roman"/>
          <w:b/>
          <w:color w:val="333333"/>
          <w:sz w:val="24"/>
          <w:szCs w:val="20"/>
          <w:highlight w:val="yellow"/>
          <w:lang w:val="ro-RO"/>
        </w:rPr>
      </w:pPr>
    </w:p>
    <w:p w:rsidR="00AA0323" w:rsidRPr="00B02AB4" w:rsidRDefault="00AA0323" w:rsidP="00AA0323">
      <w:pPr>
        <w:pStyle w:val="FootnoteText"/>
        <w:adjustRightInd w:val="0"/>
        <w:snapToGrid w:val="0"/>
        <w:spacing w:before="0" w:after="0" w:line="240" w:lineRule="auto"/>
        <w:ind w:left="0"/>
        <w:rPr>
          <w:rFonts w:ascii="Calibri" w:hAnsi="Calibri" w:cs="Times New Roman"/>
          <w:b/>
          <w:color w:val="333333"/>
          <w:sz w:val="24"/>
          <w:szCs w:val="20"/>
          <w:lang w:val="ro-RO"/>
        </w:rPr>
      </w:pPr>
      <w:r w:rsidRPr="00B02AB4">
        <w:rPr>
          <w:rFonts w:ascii="Calibri" w:hAnsi="Calibri" w:cs="Times New Roman"/>
          <w:b/>
          <w:color w:val="333333"/>
          <w:sz w:val="24"/>
          <w:szCs w:val="20"/>
          <w:lang w:val="ro-RO"/>
        </w:rPr>
        <w:t xml:space="preserve">4. Cheltuieli generale de administraţie </w:t>
      </w:r>
    </w:p>
    <w:p w:rsidR="00AA0323" w:rsidRPr="00B02AB4" w:rsidRDefault="00AA0323" w:rsidP="00AA0323">
      <w:pPr>
        <w:numPr>
          <w:ilvl w:val="0"/>
          <w:numId w:val="1"/>
        </w:numPr>
        <w:jc w:val="both"/>
        <w:rPr>
          <w:rFonts w:ascii="Calibri" w:hAnsi="Calibri"/>
          <w:szCs w:val="20"/>
          <w:lang w:val="ro-RO"/>
        </w:rPr>
      </w:pPr>
      <w:r w:rsidRPr="00B02AB4">
        <w:rPr>
          <w:rFonts w:ascii="Calibri" w:hAnsi="Calibri"/>
          <w:szCs w:val="20"/>
          <w:lang w:val="ro-RO"/>
        </w:rPr>
        <w:t xml:space="preserve">Plata utilităţilor: energie termică, energie electrică, apă, canalizare, salubritate, gaze naturale.        </w:t>
      </w:r>
    </w:p>
    <w:p w:rsidR="00AA0323" w:rsidRPr="00B02AB4" w:rsidRDefault="00AA0323" w:rsidP="00AA0323">
      <w:pPr>
        <w:numPr>
          <w:ilvl w:val="0"/>
          <w:numId w:val="1"/>
        </w:numPr>
        <w:jc w:val="both"/>
        <w:rPr>
          <w:rFonts w:ascii="Calibri" w:hAnsi="Calibri"/>
          <w:szCs w:val="20"/>
          <w:lang w:val="ro-RO"/>
        </w:rPr>
      </w:pPr>
      <w:r w:rsidRPr="00B02AB4">
        <w:rPr>
          <w:rFonts w:ascii="Calibri" w:hAnsi="Calibri"/>
          <w:szCs w:val="20"/>
          <w:lang w:val="ro-RO"/>
        </w:rPr>
        <w:t>Telefon, fax, servicii poştale, curierat rapid şi reţele de comunicaţii.</w:t>
      </w:r>
    </w:p>
    <w:p w:rsidR="00AA0323" w:rsidRPr="00B02AB4" w:rsidRDefault="00AA0323" w:rsidP="00AA0323">
      <w:pPr>
        <w:numPr>
          <w:ilvl w:val="0"/>
          <w:numId w:val="1"/>
        </w:numPr>
        <w:jc w:val="both"/>
        <w:rPr>
          <w:rFonts w:ascii="Calibri" w:hAnsi="Calibri"/>
          <w:szCs w:val="20"/>
          <w:lang w:val="ro-RO"/>
        </w:rPr>
      </w:pPr>
      <w:r w:rsidRPr="00B02AB4">
        <w:rPr>
          <w:rFonts w:ascii="Calibri" w:hAnsi="Calibri"/>
          <w:szCs w:val="20"/>
          <w:lang w:val="ro-RO"/>
        </w:rPr>
        <w:t>Achiziţionarea materialelor şi serviciilor de întreţinere a sediului.</w:t>
      </w:r>
    </w:p>
    <w:p w:rsidR="00AA0323" w:rsidRPr="00B02AB4" w:rsidRDefault="00AA0323" w:rsidP="00AA0323">
      <w:pPr>
        <w:numPr>
          <w:ilvl w:val="0"/>
          <w:numId w:val="1"/>
        </w:numPr>
        <w:jc w:val="both"/>
        <w:rPr>
          <w:rFonts w:ascii="Calibri" w:hAnsi="Calibri"/>
          <w:szCs w:val="20"/>
          <w:lang w:val="ro-RO"/>
        </w:rPr>
      </w:pPr>
      <w:r w:rsidRPr="00B02AB4">
        <w:rPr>
          <w:rFonts w:ascii="Calibri" w:hAnsi="Calibri"/>
          <w:szCs w:val="20"/>
          <w:lang w:val="ro-RO"/>
        </w:rPr>
        <w:t>Serviciile de instalare, întreţinere şi reparaţii echipamente, cu excepţia celor informatice şi de comunicaţii.</w:t>
      </w:r>
    </w:p>
    <w:p w:rsidR="00AA0323" w:rsidRPr="00B02AB4" w:rsidRDefault="00AA0323" w:rsidP="00AA0323">
      <w:pPr>
        <w:numPr>
          <w:ilvl w:val="0"/>
          <w:numId w:val="1"/>
        </w:numPr>
        <w:jc w:val="both"/>
        <w:rPr>
          <w:rFonts w:ascii="Calibri" w:hAnsi="Calibri"/>
          <w:szCs w:val="20"/>
          <w:lang w:val="ro-RO"/>
        </w:rPr>
      </w:pPr>
      <w:r w:rsidRPr="00B02AB4">
        <w:rPr>
          <w:rFonts w:ascii="Calibri" w:hAnsi="Calibri"/>
          <w:szCs w:val="20"/>
          <w:lang w:val="ro-RO"/>
        </w:rPr>
        <w:t xml:space="preserve">Serviciile de întreţinere şi reparaţii mijloace de transport.  </w:t>
      </w:r>
    </w:p>
    <w:p w:rsidR="00AA0323" w:rsidRPr="00B02AB4" w:rsidRDefault="00AA0323" w:rsidP="00AA0323">
      <w:pPr>
        <w:numPr>
          <w:ilvl w:val="0"/>
          <w:numId w:val="1"/>
        </w:numPr>
        <w:jc w:val="both"/>
        <w:rPr>
          <w:rFonts w:ascii="Calibri" w:hAnsi="Calibri"/>
          <w:szCs w:val="20"/>
          <w:lang w:val="ro-RO"/>
        </w:rPr>
      </w:pPr>
      <w:r w:rsidRPr="00B02AB4">
        <w:rPr>
          <w:rFonts w:ascii="Calibri" w:hAnsi="Calibri"/>
          <w:szCs w:val="20"/>
          <w:lang w:val="ro-RO"/>
        </w:rPr>
        <w:t>Achiziţionarea carburanţilor, lubrifianţilor şi consumabilelor pentru mijloacele de transport.</w:t>
      </w:r>
    </w:p>
    <w:p w:rsidR="00AA0323" w:rsidRPr="00B02AB4" w:rsidRDefault="00AA0323" w:rsidP="00AA0323">
      <w:pPr>
        <w:numPr>
          <w:ilvl w:val="0"/>
          <w:numId w:val="1"/>
        </w:numPr>
        <w:jc w:val="both"/>
        <w:rPr>
          <w:rFonts w:ascii="Calibri" w:hAnsi="Calibri"/>
          <w:szCs w:val="20"/>
          <w:lang w:val="ro-RO"/>
        </w:rPr>
      </w:pPr>
      <w:r w:rsidRPr="00B02AB4">
        <w:rPr>
          <w:rFonts w:ascii="Calibri" w:hAnsi="Calibri"/>
          <w:szCs w:val="20"/>
          <w:lang w:val="ro-RO"/>
        </w:rPr>
        <w:t>Arhivare.</w:t>
      </w:r>
    </w:p>
    <w:p w:rsidR="00AA0323" w:rsidRPr="00B02AB4" w:rsidRDefault="00AA0323" w:rsidP="00AA0323">
      <w:pPr>
        <w:numPr>
          <w:ilvl w:val="0"/>
          <w:numId w:val="1"/>
        </w:numPr>
        <w:jc w:val="both"/>
        <w:rPr>
          <w:rFonts w:ascii="Calibri" w:hAnsi="Calibri"/>
          <w:szCs w:val="20"/>
          <w:lang w:val="ro-RO"/>
        </w:rPr>
      </w:pPr>
      <w:r w:rsidRPr="00B02AB4">
        <w:rPr>
          <w:rFonts w:ascii="Calibri" w:hAnsi="Calibri"/>
          <w:szCs w:val="20"/>
          <w:lang w:val="ro-RO"/>
        </w:rPr>
        <w:t>Plata salariilor pentru personalul administrativ.</w:t>
      </w:r>
    </w:p>
    <w:p w:rsidR="00AA0323" w:rsidRPr="00B02AB4" w:rsidRDefault="00AA0323" w:rsidP="00AA0323">
      <w:pPr>
        <w:numPr>
          <w:ilvl w:val="0"/>
          <w:numId w:val="1"/>
        </w:numPr>
        <w:jc w:val="both"/>
        <w:rPr>
          <w:rFonts w:ascii="Calibri" w:hAnsi="Calibri"/>
          <w:szCs w:val="20"/>
          <w:lang w:val="ro-RO"/>
        </w:rPr>
      </w:pPr>
      <w:r w:rsidRPr="00B02AB4">
        <w:rPr>
          <w:rFonts w:ascii="Calibri" w:hAnsi="Calibri"/>
          <w:szCs w:val="20"/>
          <w:lang w:val="ro-RO"/>
        </w:rPr>
        <w:t>Închirierea sediului, instalaţiilor, echipamentelor, mobilierului, efectuate în ansamblu sau separat destinate activităţii zilnice a beneficiarului.</w:t>
      </w:r>
    </w:p>
    <w:p w:rsidR="008F3862" w:rsidRPr="00B02AB4" w:rsidRDefault="008F3862" w:rsidP="008F3862">
      <w:pPr>
        <w:numPr>
          <w:ilvl w:val="0"/>
          <w:numId w:val="1"/>
        </w:numPr>
        <w:jc w:val="both"/>
        <w:rPr>
          <w:rFonts w:ascii="Calibri" w:hAnsi="Calibri"/>
          <w:szCs w:val="20"/>
          <w:lang w:val="ro-RO"/>
        </w:rPr>
      </w:pPr>
      <w:r w:rsidRPr="00B02AB4">
        <w:rPr>
          <w:rFonts w:ascii="Calibri" w:hAnsi="Calibri"/>
          <w:szCs w:val="20"/>
          <w:lang w:val="ro-RO"/>
        </w:rPr>
        <w:t>Închirierea şi/sau leasing-ul pentru mijloace de transport.</w:t>
      </w:r>
    </w:p>
    <w:p w:rsidR="00AA0323" w:rsidRPr="00B02AB4" w:rsidRDefault="00AA0323" w:rsidP="00AA0323">
      <w:pPr>
        <w:numPr>
          <w:ilvl w:val="0"/>
          <w:numId w:val="1"/>
        </w:numPr>
        <w:jc w:val="both"/>
        <w:rPr>
          <w:rFonts w:ascii="Calibri" w:hAnsi="Calibri"/>
          <w:szCs w:val="20"/>
          <w:lang w:val="ro-RO"/>
        </w:rPr>
      </w:pPr>
      <w:r w:rsidRPr="00B02AB4">
        <w:rPr>
          <w:rFonts w:ascii="Calibri" w:hAnsi="Calibri"/>
          <w:szCs w:val="20"/>
          <w:lang w:val="ro-RO"/>
        </w:rPr>
        <w:t>Costurile aferente asigurării de răspundere civilă auto (RCA) pentru mijloacele de transport utilizate în scopul proiectului, dacă acestea sunt în proprietatea beneficiarului sau a instituţiei din care face parte enti</w:t>
      </w:r>
      <w:r w:rsidR="008F3862" w:rsidRPr="00B02AB4">
        <w:rPr>
          <w:rFonts w:ascii="Calibri" w:hAnsi="Calibri"/>
          <w:szCs w:val="20"/>
          <w:lang w:val="ro-RO"/>
        </w:rPr>
        <w:t>t</w:t>
      </w:r>
      <w:r w:rsidRPr="00B02AB4">
        <w:rPr>
          <w:rFonts w:ascii="Calibri" w:hAnsi="Calibri"/>
          <w:szCs w:val="20"/>
          <w:lang w:val="ro-RO"/>
        </w:rPr>
        <w:t>atea beneficiară.</w:t>
      </w:r>
    </w:p>
    <w:p w:rsidR="00AA0323" w:rsidRPr="00B02AB4" w:rsidRDefault="00AA0323" w:rsidP="00AA0323">
      <w:pPr>
        <w:pStyle w:val="FootnoteText"/>
        <w:adjustRightInd w:val="0"/>
        <w:snapToGrid w:val="0"/>
        <w:spacing w:before="0" w:after="0" w:line="240" w:lineRule="auto"/>
        <w:ind w:left="0"/>
        <w:rPr>
          <w:rFonts w:ascii="Calibri" w:hAnsi="Calibri" w:cs="Times New Roman"/>
          <w:b/>
          <w:color w:val="333333"/>
          <w:sz w:val="24"/>
          <w:szCs w:val="20"/>
          <w:highlight w:val="yellow"/>
          <w:lang w:val="ro-RO"/>
        </w:rPr>
      </w:pPr>
    </w:p>
    <w:p w:rsidR="00AA0323" w:rsidRPr="00B02AB4" w:rsidRDefault="008F3862" w:rsidP="00AA0323">
      <w:pPr>
        <w:pStyle w:val="FootnoteText"/>
        <w:adjustRightInd w:val="0"/>
        <w:snapToGrid w:val="0"/>
        <w:spacing w:before="0" w:after="0" w:line="240" w:lineRule="auto"/>
        <w:ind w:left="0"/>
        <w:rPr>
          <w:rFonts w:ascii="Calibri" w:hAnsi="Calibri" w:cs="Times New Roman"/>
          <w:b/>
          <w:color w:val="333333"/>
          <w:sz w:val="24"/>
          <w:szCs w:val="20"/>
          <w:lang w:val="ro-RO"/>
        </w:rPr>
      </w:pPr>
      <w:r w:rsidRPr="00B02AB4">
        <w:rPr>
          <w:rFonts w:ascii="Calibri" w:hAnsi="Calibri" w:cs="Times New Roman"/>
          <w:b/>
          <w:color w:val="333333"/>
          <w:sz w:val="24"/>
          <w:szCs w:val="20"/>
          <w:lang w:val="ro-RO"/>
        </w:rPr>
        <w:t>5</w:t>
      </w:r>
      <w:r w:rsidR="00AA0323" w:rsidRPr="00B02AB4">
        <w:rPr>
          <w:rFonts w:ascii="Calibri" w:hAnsi="Calibri" w:cs="Times New Roman"/>
          <w:b/>
          <w:color w:val="333333"/>
          <w:sz w:val="24"/>
          <w:szCs w:val="20"/>
          <w:lang w:val="ro-RO"/>
        </w:rPr>
        <w:t xml:space="preserve">. Cheltuieli cu amortizarea </w:t>
      </w:r>
    </w:p>
    <w:p w:rsidR="00AA0323" w:rsidRPr="00B02AB4" w:rsidRDefault="00AA0323" w:rsidP="00AA0323">
      <w:pPr>
        <w:numPr>
          <w:ilvl w:val="0"/>
          <w:numId w:val="1"/>
        </w:numPr>
        <w:jc w:val="both"/>
        <w:rPr>
          <w:rFonts w:ascii="Calibri" w:hAnsi="Calibri"/>
          <w:szCs w:val="20"/>
          <w:lang w:val="ro-RO"/>
        </w:rPr>
      </w:pPr>
      <w:r w:rsidRPr="00B02AB4">
        <w:rPr>
          <w:rFonts w:ascii="Calibri" w:hAnsi="Calibri"/>
          <w:szCs w:val="20"/>
          <w:lang w:val="ro-RO"/>
        </w:rPr>
        <w:t>Cheltuielile cu amortizarea activelor fixe corporale.</w:t>
      </w:r>
    </w:p>
    <w:p w:rsidR="00AA0323" w:rsidRDefault="00AA0323" w:rsidP="00AA0323">
      <w:pPr>
        <w:numPr>
          <w:ilvl w:val="0"/>
          <w:numId w:val="1"/>
        </w:numPr>
        <w:jc w:val="both"/>
        <w:rPr>
          <w:rFonts w:ascii="Calibri" w:hAnsi="Calibri"/>
          <w:szCs w:val="20"/>
          <w:lang w:val="ro-RO"/>
        </w:rPr>
      </w:pPr>
      <w:r w:rsidRPr="00B02AB4">
        <w:rPr>
          <w:rFonts w:ascii="Calibri" w:hAnsi="Calibri"/>
          <w:szCs w:val="20"/>
          <w:lang w:val="ro-RO"/>
        </w:rPr>
        <w:t>Cheltuielile cu amortizarea activelor fixe necorporale.</w:t>
      </w:r>
    </w:p>
    <w:p w:rsidR="00D279B5" w:rsidRDefault="00D279B5" w:rsidP="00D279B5">
      <w:pPr>
        <w:jc w:val="both"/>
        <w:rPr>
          <w:rFonts w:ascii="Calibri" w:hAnsi="Calibri"/>
          <w:szCs w:val="20"/>
          <w:lang w:val="ro-RO"/>
        </w:rPr>
      </w:pPr>
    </w:p>
    <w:p w:rsidR="008264D2" w:rsidRPr="00B02AB4" w:rsidRDefault="008264D2" w:rsidP="008264D2">
      <w:pPr>
        <w:pStyle w:val="FootnoteText"/>
        <w:adjustRightInd w:val="0"/>
        <w:snapToGrid w:val="0"/>
        <w:spacing w:before="0" w:after="0" w:line="240" w:lineRule="auto"/>
        <w:ind w:left="0"/>
        <w:rPr>
          <w:rFonts w:ascii="Calibri" w:hAnsi="Calibri" w:cs="Times New Roman"/>
          <w:b/>
          <w:color w:val="333333"/>
          <w:sz w:val="24"/>
          <w:szCs w:val="20"/>
          <w:lang w:val="ro-RO"/>
        </w:rPr>
      </w:pPr>
      <w:r>
        <w:rPr>
          <w:rFonts w:ascii="Calibri" w:hAnsi="Calibri" w:cs="Times New Roman"/>
          <w:b/>
          <w:color w:val="333333"/>
          <w:sz w:val="24"/>
          <w:szCs w:val="20"/>
          <w:lang w:val="ro-RO"/>
        </w:rPr>
        <w:t>6</w:t>
      </w:r>
      <w:r w:rsidRPr="00B02AB4">
        <w:rPr>
          <w:rFonts w:ascii="Calibri" w:hAnsi="Calibri" w:cs="Times New Roman"/>
          <w:b/>
          <w:color w:val="333333"/>
          <w:sz w:val="24"/>
          <w:szCs w:val="20"/>
          <w:lang w:val="ro-RO"/>
        </w:rPr>
        <w:t xml:space="preserve">. </w:t>
      </w:r>
      <w:r>
        <w:rPr>
          <w:rFonts w:ascii="Calibri" w:hAnsi="Calibri" w:cs="Times New Roman"/>
          <w:b/>
          <w:color w:val="333333"/>
          <w:sz w:val="24"/>
          <w:szCs w:val="20"/>
          <w:lang w:val="ro-RO"/>
        </w:rPr>
        <w:t>Alte categorii de cheltuieli</w:t>
      </w:r>
    </w:p>
    <w:p w:rsidR="00D279B5" w:rsidRPr="00B02AB4" w:rsidRDefault="008264D2" w:rsidP="00D279B5">
      <w:pPr>
        <w:jc w:val="both"/>
        <w:rPr>
          <w:rFonts w:ascii="Calibri" w:hAnsi="Calibri"/>
          <w:szCs w:val="20"/>
          <w:lang w:val="ro-RO"/>
        </w:rPr>
      </w:pPr>
      <w:r>
        <w:rPr>
          <w:rFonts w:ascii="Calibri" w:hAnsi="Calibri"/>
          <w:szCs w:val="20"/>
          <w:lang w:val="ro-RO"/>
        </w:rPr>
        <w:t>S</w:t>
      </w:r>
      <w:r w:rsidRPr="008264D2">
        <w:rPr>
          <w:rFonts w:ascii="Calibri" w:hAnsi="Calibri"/>
          <w:szCs w:val="20"/>
          <w:lang w:val="ro-RO"/>
        </w:rPr>
        <w:t>e vor in</w:t>
      </w:r>
      <w:r>
        <w:rPr>
          <w:rFonts w:ascii="Calibri" w:hAnsi="Calibri"/>
          <w:szCs w:val="20"/>
          <w:lang w:val="ro-RO"/>
        </w:rPr>
        <w:t>clude</w:t>
      </w:r>
      <w:r w:rsidRPr="008264D2">
        <w:rPr>
          <w:rFonts w:ascii="Calibri" w:hAnsi="Calibri"/>
          <w:szCs w:val="20"/>
          <w:lang w:val="ro-RO"/>
        </w:rPr>
        <w:t xml:space="preserve"> cheltuieli care sunt neeligibile conform </w:t>
      </w:r>
      <w:r>
        <w:rPr>
          <w:rFonts w:ascii="Calibri" w:hAnsi="Calibri"/>
          <w:szCs w:val="20"/>
          <w:lang w:val="ro-RO"/>
        </w:rPr>
        <w:t xml:space="preserve">punctului II.3 din </w:t>
      </w:r>
      <w:r w:rsidRPr="008264D2">
        <w:rPr>
          <w:rFonts w:ascii="Calibri" w:hAnsi="Calibri"/>
          <w:szCs w:val="20"/>
          <w:lang w:val="ro-RO"/>
        </w:rPr>
        <w:t>Ghidul Solicitantului dar care sunt indispensabile implementării proiectului.</w:t>
      </w:r>
    </w:p>
    <w:sectPr w:rsidR="00D279B5" w:rsidRPr="00B02AB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90116B"/>
    <w:multiLevelType w:val="hybridMultilevel"/>
    <w:tmpl w:val="CA34C18E"/>
    <w:lvl w:ilvl="0" w:tplc="04180005">
      <w:start w:val="1"/>
      <w:numFmt w:val="bullet"/>
      <w:lvlText w:val=""/>
      <w:lvlJc w:val="left"/>
      <w:pPr>
        <w:tabs>
          <w:tab w:val="num" w:pos="720"/>
        </w:tabs>
        <w:ind w:left="720" w:hanging="360"/>
      </w:pPr>
      <w:rPr>
        <w:rFonts w:ascii="Wingdings" w:hAnsi="Wingdings"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0323"/>
    <w:rsid w:val="00023A9F"/>
    <w:rsid w:val="001B72C3"/>
    <w:rsid w:val="003F5C76"/>
    <w:rsid w:val="00511499"/>
    <w:rsid w:val="00560937"/>
    <w:rsid w:val="00561162"/>
    <w:rsid w:val="00646525"/>
    <w:rsid w:val="008264D2"/>
    <w:rsid w:val="008F3862"/>
    <w:rsid w:val="00AA0323"/>
    <w:rsid w:val="00B02AB4"/>
    <w:rsid w:val="00B94CD3"/>
    <w:rsid w:val="00BC6A4D"/>
    <w:rsid w:val="00C42E96"/>
    <w:rsid w:val="00D279B5"/>
    <w:rsid w:val="00F778A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0323"/>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1"/>
    <w:semiHidden/>
    <w:rsid w:val="00AA0323"/>
    <w:pPr>
      <w:keepLines/>
      <w:spacing w:before="200" w:after="240" w:line="200" w:lineRule="atLeast"/>
      <w:ind w:left="357"/>
      <w:jc w:val="both"/>
    </w:pPr>
    <w:rPr>
      <w:rFonts w:ascii="Arial" w:hAnsi="Arial" w:cs="Arial"/>
      <w:noProof/>
      <w:sz w:val="18"/>
      <w:szCs w:val="22"/>
    </w:rPr>
  </w:style>
  <w:style w:type="character" w:customStyle="1" w:styleId="FootnoteTextChar">
    <w:name w:val="Footnote Text Char"/>
    <w:basedOn w:val="DefaultParagraphFont"/>
    <w:uiPriority w:val="99"/>
    <w:semiHidden/>
    <w:rsid w:val="00AA0323"/>
    <w:rPr>
      <w:rFonts w:ascii="Times New Roman" w:eastAsia="Times New Roman" w:hAnsi="Times New Roman" w:cs="Times New Roman"/>
      <w:sz w:val="20"/>
      <w:szCs w:val="20"/>
      <w:lang w:val="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
    <w:link w:val="FootnoteText"/>
    <w:locked/>
    <w:rsid w:val="00AA0323"/>
    <w:rPr>
      <w:rFonts w:ascii="Arial" w:eastAsia="Times New Roman" w:hAnsi="Arial" w:cs="Arial"/>
      <w:noProof/>
      <w:sz w:val="18"/>
      <w:lang w:val="en-US"/>
    </w:rPr>
  </w:style>
  <w:style w:type="paragraph" w:customStyle="1" w:styleId="Char">
    <w:name w:val="Char"/>
    <w:basedOn w:val="Normal"/>
    <w:rsid w:val="00AA0323"/>
    <w:rPr>
      <w:lang w:val="pl-PL" w:eastAsia="pl-PL"/>
    </w:rPr>
  </w:style>
  <w:style w:type="paragraph" w:styleId="BalloonText">
    <w:name w:val="Balloon Text"/>
    <w:basedOn w:val="Normal"/>
    <w:link w:val="BalloonTextChar"/>
    <w:uiPriority w:val="99"/>
    <w:semiHidden/>
    <w:unhideWhenUsed/>
    <w:rsid w:val="00AA0323"/>
    <w:rPr>
      <w:rFonts w:ascii="Tahoma" w:hAnsi="Tahoma" w:cs="Tahoma"/>
      <w:sz w:val="16"/>
      <w:szCs w:val="16"/>
    </w:rPr>
  </w:style>
  <w:style w:type="character" w:customStyle="1" w:styleId="BalloonTextChar">
    <w:name w:val="Balloon Text Char"/>
    <w:basedOn w:val="DefaultParagraphFont"/>
    <w:link w:val="BalloonText"/>
    <w:uiPriority w:val="99"/>
    <w:semiHidden/>
    <w:rsid w:val="00AA0323"/>
    <w:rPr>
      <w:rFonts w:ascii="Tahoma" w:eastAsia="Times New Roman" w:hAnsi="Tahoma" w:cs="Tahoma"/>
      <w:sz w:val="16"/>
      <w:szCs w:val="16"/>
      <w:lang w:val="en-US"/>
    </w:rPr>
  </w:style>
  <w:style w:type="character" w:styleId="Hyperlink">
    <w:name w:val="Hyperlink"/>
    <w:rsid w:val="00B94CD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0323"/>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1"/>
    <w:semiHidden/>
    <w:rsid w:val="00AA0323"/>
    <w:pPr>
      <w:keepLines/>
      <w:spacing w:before="200" w:after="240" w:line="200" w:lineRule="atLeast"/>
      <w:ind w:left="357"/>
      <w:jc w:val="both"/>
    </w:pPr>
    <w:rPr>
      <w:rFonts w:ascii="Arial" w:hAnsi="Arial" w:cs="Arial"/>
      <w:noProof/>
      <w:sz w:val="18"/>
      <w:szCs w:val="22"/>
    </w:rPr>
  </w:style>
  <w:style w:type="character" w:customStyle="1" w:styleId="FootnoteTextChar">
    <w:name w:val="Footnote Text Char"/>
    <w:basedOn w:val="DefaultParagraphFont"/>
    <w:uiPriority w:val="99"/>
    <w:semiHidden/>
    <w:rsid w:val="00AA0323"/>
    <w:rPr>
      <w:rFonts w:ascii="Times New Roman" w:eastAsia="Times New Roman" w:hAnsi="Times New Roman" w:cs="Times New Roman"/>
      <w:sz w:val="20"/>
      <w:szCs w:val="20"/>
      <w:lang w:val="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
    <w:link w:val="FootnoteText"/>
    <w:locked/>
    <w:rsid w:val="00AA0323"/>
    <w:rPr>
      <w:rFonts w:ascii="Arial" w:eastAsia="Times New Roman" w:hAnsi="Arial" w:cs="Arial"/>
      <w:noProof/>
      <w:sz w:val="18"/>
      <w:lang w:val="en-US"/>
    </w:rPr>
  </w:style>
  <w:style w:type="paragraph" w:customStyle="1" w:styleId="Char">
    <w:name w:val="Char"/>
    <w:basedOn w:val="Normal"/>
    <w:rsid w:val="00AA0323"/>
    <w:rPr>
      <w:lang w:val="pl-PL" w:eastAsia="pl-PL"/>
    </w:rPr>
  </w:style>
  <w:style w:type="paragraph" w:styleId="BalloonText">
    <w:name w:val="Balloon Text"/>
    <w:basedOn w:val="Normal"/>
    <w:link w:val="BalloonTextChar"/>
    <w:uiPriority w:val="99"/>
    <w:semiHidden/>
    <w:unhideWhenUsed/>
    <w:rsid w:val="00AA0323"/>
    <w:rPr>
      <w:rFonts w:ascii="Tahoma" w:hAnsi="Tahoma" w:cs="Tahoma"/>
      <w:sz w:val="16"/>
      <w:szCs w:val="16"/>
    </w:rPr>
  </w:style>
  <w:style w:type="character" w:customStyle="1" w:styleId="BalloonTextChar">
    <w:name w:val="Balloon Text Char"/>
    <w:basedOn w:val="DefaultParagraphFont"/>
    <w:link w:val="BalloonText"/>
    <w:uiPriority w:val="99"/>
    <w:semiHidden/>
    <w:rsid w:val="00AA0323"/>
    <w:rPr>
      <w:rFonts w:ascii="Tahoma" w:eastAsia="Times New Roman" w:hAnsi="Tahoma" w:cs="Tahoma"/>
      <w:sz w:val="16"/>
      <w:szCs w:val="16"/>
      <w:lang w:val="en-US"/>
    </w:rPr>
  </w:style>
  <w:style w:type="character" w:styleId="Hyperlink">
    <w:name w:val="Hyperlink"/>
    <w:rsid w:val="00B94CD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731</Words>
  <Characters>4241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Daniela Balan</dc:creator>
  <cp:lastModifiedBy>Daniela Balan</cp:lastModifiedBy>
  <cp:revision>5</cp:revision>
  <dcterms:created xsi:type="dcterms:W3CDTF">2015-03-16T12:22:00Z</dcterms:created>
  <dcterms:modified xsi:type="dcterms:W3CDTF">2015-03-16T12:30:00Z</dcterms:modified>
</cp:coreProperties>
</file>